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D19D" w14:textId="360544FF" w:rsidR="00222F85" w:rsidRDefault="00222F85" w:rsidP="00222F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561DB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Аналіз роботи 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ТПСПП</w:t>
      </w:r>
      <w:r w:rsidRPr="00561DB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вчителів математики</w:t>
      </w:r>
      <w:r w:rsidR="00A4686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</w:t>
      </w:r>
      <w:r w:rsidRPr="00561DB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та інформатики </w:t>
      </w:r>
    </w:p>
    <w:p w14:paraId="2C32464F" w14:textId="32CBDD4E" w:rsidR="00222F85" w:rsidRDefault="00222F85" w:rsidP="00222F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</w:pPr>
      <w:r w:rsidRPr="00561DB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за 202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3</w:t>
      </w:r>
      <w:r w:rsidRPr="00561DB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>4</w:t>
      </w:r>
      <w:r w:rsidRPr="00561DB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навчальний рік</w:t>
      </w:r>
    </w:p>
    <w:p w14:paraId="41A6D232" w14:textId="77777777" w:rsidR="009940E6" w:rsidRPr="00561DBE" w:rsidRDefault="009940E6" w:rsidP="00222F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1FC0091C" w14:textId="0334CC33" w:rsidR="00222F85" w:rsidRPr="003333F3" w:rsidRDefault="00222F85" w:rsidP="00222F8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ТПСПП </w:t>
      </w:r>
      <w:r w:rsidRPr="00561DB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вчителів математики, та інформатики працю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вало </w:t>
      </w:r>
      <w:r w:rsidRPr="00561DB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uk-UA"/>
          <w14:ligatures w14:val="none"/>
        </w:rPr>
        <w:t xml:space="preserve"> над проблемою:</w:t>
      </w:r>
    </w:p>
    <w:p w14:paraId="252A4ACB" w14:textId="77777777" w:rsidR="00222F85" w:rsidRPr="003333F3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«</w:t>
      </w:r>
      <w:r w:rsidRPr="003333F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uk-UA"/>
        </w:rPr>
        <w:t>Підвищення якості знань здобувачів освіти як основи для успішної самореалізації особистості шляхом координації зусиль педагогів, батьків та учнівського колективу»</w:t>
      </w:r>
    </w:p>
    <w:p w14:paraId="62841C7E" w14:textId="77777777" w:rsidR="00222F85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14:paraId="01460A4F" w14:textId="1EB3E315" w:rsidR="00222F85" w:rsidRDefault="00A4686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202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-202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</w:t>
      </w:r>
      <w:r w:rsidR="00222F85"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навчальному році педагоги, члени 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ТПСПП </w:t>
      </w:r>
      <w:r w:rsidR="00222F85"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вчителів предметів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математики та інформатики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спрямували свою роботу на те, щоб не тільки дати дітям міцні знання, а й забезпечити у підростаючого покоління формування духовно багатого та свідомого світогляду. </w:t>
      </w:r>
      <w:r w:rsidR="00222F85"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Основною метою роботи 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територіальної професійної спільноти </w:t>
      </w:r>
      <w:r w:rsidR="00222F85"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вчителів 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202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-202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</w:t>
      </w:r>
      <w:r w:rsidR="00222F85"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навчальному році було безперервне вдосконалення рівня педагогічної майстерності вчителів, їх ерудиції та компетентності в області навчального предмету та методики його викладання.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Професійний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склад членів методичного об’єднання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учителів математики</w:t>
      </w:r>
      <w:r w:rsidR="00222F8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55"/>
        <w:gridCol w:w="3006"/>
        <w:gridCol w:w="5835"/>
      </w:tblGrid>
      <w:tr w:rsidR="009903A9" w14:paraId="045FD154" w14:textId="77777777" w:rsidTr="009903A9">
        <w:trPr>
          <w:trHeight w:val="681"/>
        </w:trPr>
        <w:tc>
          <w:tcPr>
            <w:tcW w:w="1055" w:type="dxa"/>
          </w:tcPr>
          <w:p w14:paraId="419D70BD" w14:textId="090B6B6A" w:rsidR="009903A9" w:rsidRPr="00222F85" w:rsidRDefault="009903A9" w:rsidP="00222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</w:pPr>
            <w:r w:rsidRPr="00222F8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  <w:t>№ п\п</w:t>
            </w:r>
          </w:p>
        </w:tc>
        <w:tc>
          <w:tcPr>
            <w:tcW w:w="3006" w:type="dxa"/>
          </w:tcPr>
          <w:p w14:paraId="4FFAC785" w14:textId="5BA17A67" w:rsidR="009903A9" w:rsidRPr="00222F85" w:rsidRDefault="009903A9" w:rsidP="00222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</w:pPr>
            <w:r w:rsidRPr="00222F8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5835" w:type="dxa"/>
          </w:tcPr>
          <w:p w14:paraId="62C51062" w14:textId="0E335A97" w:rsidR="009903A9" w:rsidRPr="00222F85" w:rsidRDefault="009903A9" w:rsidP="00222F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</w:pPr>
            <w:r w:rsidRPr="00222F8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  <w:t>Заклад освіти в якому працює</w:t>
            </w:r>
          </w:p>
        </w:tc>
      </w:tr>
      <w:tr w:rsidR="009903A9" w14:paraId="444CED50" w14:textId="77777777" w:rsidTr="009903A9">
        <w:trPr>
          <w:trHeight w:val="332"/>
        </w:trPr>
        <w:tc>
          <w:tcPr>
            <w:tcW w:w="1055" w:type="dxa"/>
          </w:tcPr>
          <w:p w14:paraId="6AEE43E0" w14:textId="41808C24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06" w:type="dxa"/>
          </w:tcPr>
          <w:p w14:paraId="51AEE9B3" w14:textId="46C535D0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Биндю Н.В.</w:t>
            </w:r>
          </w:p>
        </w:tc>
        <w:tc>
          <w:tcPr>
            <w:tcW w:w="5835" w:type="dxa"/>
          </w:tcPr>
          <w:p w14:paraId="3E4865A6" w14:textId="6F47B08D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Чудейський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ліцей №2</w:t>
            </w:r>
          </w:p>
        </w:tc>
      </w:tr>
      <w:tr w:rsidR="009903A9" w14:paraId="32ED91B0" w14:textId="77777777" w:rsidTr="009903A9">
        <w:trPr>
          <w:trHeight w:val="332"/>
        </w:trPr>
        <w:tc>
          <w:tcPr>
            <w:tcW w:w="1055" w:type="dxa"/>
          </w:tcPr>
          <w:p w14:paraId="5638FA8A" w14:textId="7B8D106D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06" w:type="dxa"/>
          </w:tcPr>
          <w:p w14:paraId="62F07039" w14:textId="7F099B04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Багнян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5835" w:type="dxa"/>
          </w:tcPr>
          <w:p w14:paraId="3D0E30B8" w14:textId="107C2909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Чудейський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ліцей №2</w:t>
            </w:r>
          </w:p>
        </w:tc>
      </w:tr>
      <w:tr w:rsidR="009903A9" w14:paraId="25750BFB" w14:textId="77777777" w:rsidTr="009903A9">
        <w:trPr>
          <w:trHeight w:val="332"/>
        </w:trPr>
        <w:tc>
          <w:tcPr>
            <w:tcW w:w="1055" w:type="dxa"/>
          </w:tcPr>
          <w:p w14:paraId="5EFACE93" w14:textId="6DBC0D25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006" w:type="dxa"/>
          </w:tcPr>
          <w:p w14:paraId="56D3BBBC" w14:textId="524C9FD6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Палюх А.А.</w:t>
            </w:r>
          </w:p>
        </w:tc>
        <w:tc>
          <w:tcPr>
            <w:tcW w:w="5835" w:type="dxa"/>
          </w:tcPr>
          <w:p w14:paraId="13D60F70" w14:textId="39237FC6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Чудейський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ліцей №2</w:t>
            </w:r>
          </w:p>
        </w:tc>
      </w:tr>
      <w:tr w:rsidR="009903A9" w14:paraId="18240E29" w14:textId="77777777" w:rsidTr="009903A9">
        <w:trPr>
          <w:trHeight w:val="332"/>
        </w:trPr>
        <w:tc>
          <w:tcPr>
            <w:tcW w:w="1055" w:type="dxa"/>
          </w:tcPr>
          <w:p w14:paraId="16595475" w14:textId="625145D7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006" w:type="dxa"/>
          </w:tcPr>
          <w:p w14:paraId="7C09CFC9" w14:textId="092306A3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Баталова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А.В.</w:t>
            </w:r>
          </w:p>
        </w:tc>
        <w:tc>
          <w:tcPr>
            <w:tcW w:w="5835" w:type="dxa"/>
          </w:tcPr>
          <w:p w14:paraId="1F755692" w14:textId="05189B39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Чудейський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ліцей №2</w:t>
            </w:r>
          </w:p>
        </w:tc>
      </w:tr>
      <w:tr w:rsidR="009903A9" w14:paraId="5D1170C6" w14:textId="77777777" w:rsidTr="009903A9">
        <w:trPr>
          <w:trHeight w:val="332"/>
        </w:trPr>
        <w:tc>
          <w:tcPr>
            <w:tcW w:w="1055" w:type="dxa"/>
          </w:tcPr>
          <w:p w14:paraId="3A3FF45D" w14:textId="62F13D9E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006" w:type="dxa"/>
          </w:tcPr>
          <w:p w14:paraId="428E79D6" w14:textId="19331699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Герман М.Г.</w:t>
            </w:r>
          </w:p>
        </w:tc>
        <w:tc>
          <w:tcPr>
            <w:tcW w:w="5835" w:type="dxa"/>
          </w:tcPr>
          <w:p w14:paraId="6EE4EFB7" w14:textId="1707B759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Чудейський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ліцей №1</w:t>
            </w:r>
          </w:p>
        </w:tc>
      </w:tr>
      <w:tr w:rsidR="009903A9" w14:paraId="0E70D7FB" w14:textId="77777777" w:rsidTr="009903A9">
        <w:trPr>
          <w:trHeight w:val="332"/>
        </w:trPr>
        <w:tc>
          <w:tcPr>
            <w:tcW w:w="1055" w:type="dxa"/>
          </w:tcPr>
          <w:p w14:paraId="6CF411BC" w14:textId="2917C86F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006" w:type="dxa"/>
          </w:tcPr>
          <w:p w14:paraId="6A5948DD" w14:textId="193098D4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Гарага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Л.Д.</w:t>
            </w:r>
          </w:p>
        </w:tc>
        <w:tc>
          <w:tcPr>
            <w:tcW w:w="5835" w:type="dxa"/>
          </w:tcPr>
          <w:p w14:paraId="7E4D31F4" w14:textId="62057623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Чудейська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гімназія</w:t>
            </w:r>
          </w:p>
        </w:tc>
      </w:tr>
      <w:tr w:rsidR="009903A9" w14:paraId="22F275BC" w14:textId="77777777" w:rsidTr="009903A9">
        <w:trPr>
          <w:trHeight w:val="348"/>
        </w:trPr>
        <w:tc>
          <w:tcPr>
            <w:tcW w:w="1055" w:type="dxa"/>
          </w:tcPr>
          <w:p w14:paraId="0261621B" w14:textId="10711E79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006" w:type="dxa"/>
          </w:tcPr>
          <w:p w14:paraId="6CFD57A2" w14:textId="274F6793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Українець І.В.</w:t>
            </w:r>
          </w:p>
        </w:tc>
        <w:tc>
          <w:tcPr>
            <w:tcW w:w="5835" w:type="dxa"/>
          </w:tcPr>
          <w:p w14:paraId="4E17DA0A" w14:textId="1C336F87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Буденецька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гімназія імені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Бостан</w:t>
            </w:r>
            <w:proofErr w:type="spellEnd"/>
          </w:p>
        </w:tc>
      </w:tr>
      <w:tr w:rsidR="009903A9" w14:paraId="2EC85286" w14:textId="77777777" w:rsidTr="009903A9">
        <w:trPr>
          <w:trHeight w:val="332"/>
        </w:trPr>
        <w:tc>
          <w:tcPr>
            <w:tcW w:w="1055" w:type="dxa"/>
          </w:tcPr>
          <w:p w14:paraId="1B11F35C" w14:textId="5EAABAC2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006" w:type="dxa"/>
          </w:tcPr>
          <w:p w14:paraId="1AB1BF41" w14:textId="2332CABC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Солкан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М.К.</w:t>
            </w:r>
          </w:p>
        </w:tc>
        <w:tc>
          <w:tcPr>
            <w:tcW w:w="5835" w:type="dxa"/>
          </w:tcPr>
          <w:p w14:paraId="3002E83F" w14:textId="76E729AD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Череська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гімназія</w:t>
            </w:r>
          </w:p>
        </w:tc>
      </w:tr>
      <w:tr w:rsidR="009903A9" w14:paraId="5FE93D9D" w14:textId="77777777" w:rsidTr="009903A9">
        <w:trPr>
          <w:trHeight w:val="332"/>
        </w:trPr>
        <w:tc>
          <w:tcPr>
            <w:tcW w:w="1055" w:type="dxa"/>
          </w:tcPr>
          <w:p w14:paraId="50D90F58" w14:textId="56CB8429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006" w:type="dxa"/>
          </w:tcPr>
          <w:p w14:paraId="322E8C52" w14:textId="068EA75C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Долінська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М.Г.</w:t>
            </w:r>
          </w:p>
        </w:tc>
        <w:tc>
          <w:tcPr>
            <w:tcW w:w="5835" w:type="dxa"/>
          </w:tcPr>
          <w:p w14:paraId="3EC9E81A" w14:textId="7114CEE7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Іжівський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ліцей</w:t>
            </w:r>
          </w:p>
        </w:tc>
      </w:tr>
      <w:tr w:rsidR="009903A9" w14:paraId="233207DD" w14:textId="77777777" w:rsidTr="009903A9">
        <w:trPr>
          <w:trHeight w:val="332"/>
        </w:trPr>
        <w:tc>
          <w:tcPr>
            <w:tcW w:w="1055" w:type="dxa"/>
          </w:tcPr>
          <w:p w14:paraId="61D09034" w14:textId="14CB598C" w:rsidR="009903A9" w:rsidRDefault="009903A9" w:rsidP="00222F85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006" w:type="dxa"/>
          </w:tcPr>
          <w:p w14:paraId="19390537" w14:textId="73A4762A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Лук’ян М.К.</w:t>
            </w:r>
          </w:p>
        </w:tc>
        <w:tc>
          <w:tcPr>
            <w:tcW w:w="5835" w:type="dxa"/>
          </w:tcPr>
          <w:p w14:paraId="3B89DF28" w14:textId="2A24C3E9" w:rsidR="009903A9" w:rsidRDefault="009903A9" w:rsidP="00222F85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Їжівська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гімназія</w:t>
            </w:r>
          </w:p>
        </w:tc>
      </w:tr>
    </w:tbl>
    <w:p w14:paraId="7E78C9D2" w14:textId="04F8FF87" w:rsidR="00222F85" w:rsidRDefault="00A4686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Професійний склад членів методичного об’єднання учителів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інформатики: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57"/>
        <w:gridCol w:w="3011"/>
        <w:gridCol w:w="5843"/>
      </w:tblGrid>
      <w:tr w:rsidR="009903A9" w:rsidRPr="00222F85" w14:paraId="3DDFFE6E" w14:textId="77777777" w:rsidTr="009903A9">
        <w:trPr>
          <w:trHeight w:val="631"/>
        </w:trPr>
        <w:tc>
          <w:tcPr>
            <w:tcW w:w="1057" w:type="dxa"/>
          </w:tcPr>
          <w:p w14:paraId="32FA2103" w14:textId="77777777" w:rsidR="009903A9" w:rsidRPr="00222F85" w:rsidRDefault="009903A9" w:rsidP="00080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</w:pPr>
            <w:r w:rsidRPr="00222F8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  <w:t>№ п\п</w:t>
            </w:r>
          </w:p>
        </w:tc>
        <w:tc>
          <w:tcPr>
            <w:tcW w:w="3011" w:type="dxa"/>
          </w:tcPr>
          <w:p w14:paraId="40D13E8A" w14:textId="77777777" w:rsidR="009903A9" w:rsidRPr="00222F85" w:rsidRDefault="009903A9" w:rsidP="00080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</w:pPr>
            <w:r w:rsidRPr="00222F8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5843" w:type="dxa"/>
          </w:tcPr>
          <w:p w14:paraId="365914CB" w14:textId="77777777" w:rsidR="009903A9" w:rsidRPr="00222F85" w:rsidRDefault="009903A9" w:rsidP="00080B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</w:pPr>
            <w:r w:rsidRPr="00222F85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  <w:t>Заклад освіти в якому працює</w:t>
            </w:r>
          </w:p>
        </w:tc>
      </w:tr>
      <w:tr w:rsidR="009903A9" w:rsidRPr="00A46865" w14:paraId="20D87AE0" w14:textId="77777777" w:rsidTr="009903A9">
        <w:trPr>
          <w:trHeight w:val="308"/>
        </w:trPr>
        <w:tc>
          <w:tcPr>
            <w:tcW w:w="1057" w:type="dxa"/>
          </w:tcPr>
          <w:p w14:paraId="380A0CA4" w14:textId="5696EA05" w:rsidR="009903A9" w:rsidRPr="00A46865" w:rsidRDefault="009903A9" w:rsidP="00080B9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468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11" w:type="dxa"/>
          </w:tcPr>
          <w:p w14:paraId="7493CC7C" w14:textId="7F423493" w:rsidR="009903A9" w:rsidRPr="00A46865" w:rsidRDefault="009903A9" w:rsidP="00A4686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Сандулович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М.В.</w:t>
            </w:r>
          </w:p>
        </w:tc>
        <w:tc>
          <w:tcPr>
            <w:tcW w:w="5843" w:type="dxa"/>
          </w:tcPr>
          <w:p w14:paraId="6518BA3D" w14:textId="158D7C25" w:rsidR="009903A9" w:rsidRPr="00A46865" w:rsidRDefault="009903A9" w:rsidP="00402ADC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Чудейський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ліцей №2</w:t>
            </w:r>
          </w:p>
        </w:tc>
      </w:tr>
      <w:tr w:rsidR="009903A9" w:rsidRPr="00A46865" w14:paraId="022F3CBD" w14:textId="77777777" w:rsidTr="009903A9">
        <w:trPr>
          <w:trHeight w:val="308"/>
        </w:trPr>
        <w:tc>
          <w:tcPr>
            <w:tcW w:w="1057" w:type="dxa"/>
          </w:tcPr>
          <w:p w14:paraId="085DAD84" w14:textId="769CB607" w:rsidR="009903A9" w:rsidRPr="00A46865" w:rsidRDefault="009903A9" w:rsidP="00080B9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468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11" w:type="dxa"/>
          </w:tcPr>
          <w:p w14:paraId="0CD66451" w14:textId="4F30AA0E" w:rsidR="009903A9" w:rsidRPr="00A46865" w:rsidRDefault="009903A9" w:rsidP="00A4686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Дідошак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В.Є.</w:t>
            </w:r>
          </w:p>
        </w:tc>
        <w:tc>
          <w:tcPr>
            <w:tcW w:w="5843" w:type="dxa"/>
          </w:tcPr>
          <w:p w14:paraId="17D33638" w14:textId="3C49A1FB" w:rsidR="009903A9" w:rsidRPr="00A46865" w:rsidRDefault="009903A9" w:rsidP="00402ADC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Іжівський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ліцей</w:t>
            </w:r>
          </w:p>
        </w:tc>
      </w:tr>
      <w:tr w:rsidR="009903A9" w:rsidRPr="00A46865" w14:paraId="17F84BF5" w14:textId="77777777" w:rsidTr="009903A9">
        <w:trPr>
          <w:trHeight w:val="308"/>
        </w:trPr>
        <w:tc>
          <w:tcPr>
            <w:tcW w:w="1057" w:type="dxa"/>
          </w:tcPr>
          <w:p w14:paraId="6FAFF72D" w14:textId="7500202D" w:rsidR="009903A9" w:rsidRPr="00A46865" w:rsidRDefault="009903A9" w:rsidP="00080B9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468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011" w:type="dxa"/>
          </w:tcPr>
          <w:p w14:paraId="4CAA616C" w14:textId="03385108" w:rsidR="009903A9" w:rsidRPr="00A46865" w:rsidRDefault="009903A9" w:rsidP="00A4686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Москалюк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П.В.</w:t>
            </w:r>
          </w:p>
        </w:tc>
        <w:tc>
          <w:tcPr>
            <w:tcW w:w="5843" w:type="dxa"/>
          </w:tcPr>
          <w:p w14:paraId="3F68519D" w14:textId="07EF1830" w:rsidR="009903A9" w:rsidRPr="00A46865" w:rsidRDefault="009903A9" w:rsidP="00402ADC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Буденецька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гімназія імені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Бостан</w:t>
            </w:r>
            <w:proofErr w:type="spellEnd"/>
          </w:p>
        </w:tc>
      </w:tr>
      <w:tr w:rsidR="009903A9" w:rsidRPr="00A46865" w14:paraId="792501D8" w14:textId="77777777" w:rsidTr="009903A9">
        <w:trPr>
          <w:trHeight w:val="308"/>
        </w:trPr>
        <w:tc>
          <w:tcPr>
            <w:tcW w:w="1057" w:type="dxa"/>
          </w:tcPr>
          <w:p w14:paraId="770BD01F" w14:textId="20DF6572" w:rsidR="009903A9" w:rsidRPr="00A46865" w:rsidRDefault="009903A9" w:rsidP="00080B9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468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011" w:type="dxa"/>
          </w:tcPr>
          <w:p w14:paraId="1B3C1B3E" w14:textId="5A6F93C9" w:rsidR="009903A9" w:rsidRPr="00A46865" w:rsidRDefault="009903A9" w:rsidP="00A4686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Іліуц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І.М.</w:t>
            </w:r>
          </w:p>
        </w:tc>
        <w:tc>
          <w:tcPr>
            <w:tcW w:w="5843" w:type="dxa"/>
          </w:tcPr>
          <w:p w14:paraId="6BEDD53D" w14:textId="015C4F43" w:rsidR="009903A9" w:rsidRPr="00A46865" w:rsidRDefault="009903A9" w:rsidP="009903A9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Чудейська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гімназія</w:t>
            </w:r>
          </w:p>
        </w:tc>
      </w:tr>
      <w:tr w:rsidR="009903A9" w:rsidRPr="00A46865" w14:paraId="69943F18" w14:textId="77777777" w:rsidTr="009903A9">
        <w:trPr>
          <w:trHeight w:val="308"/>
        </w:trPr>
        <w:tc>
          <w:tcPr>
            <w:tcW w:w="1057" w:type="dxa"/>
          </w:tcPr>
          <w:p w14:paraId="5E09EC5A" w14:textId="35438D13" w:rsidR="009903A9" w:rsidRPr="00A46865" w:rsidRDefault="009903A9" w:rsidP="00080B9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468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011" w:type="dxa"/>
          </w:tcPr>
          <w:p w14:paraId="3DBD1DED" w14:textId="1394F0A8" w:rsidR="009903A9" w:rsidRPr="00A46865" w:rsidRDefault="009903A9" w:rsidP="00A4686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Піцул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Н.Д.</w:t>
            </w:r>
          </w:p>
        </w:tc>
        <w:tc>
          <w:tcPr>
            <w:tcW w:w="5843" w:type="dxa"/>
          </w:tcPr>
          <w:p w14:paraId="1B31CFC9" w14:textId="650E8F30" w:rsidR="009903A9" w:rsidRPr="00A46865" w:rsidRDefault="009903A9" w:rsidP="009903A9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Їжівська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гімназія</w:t>
            </w:r>
          </w:p>
        </w:tc>
      </w:tr>
      <w:tr w:rsidR="009903A9" w:rsidRPr="00A46865" w14:paraId="14FF1D77" w14:textId="77777777" w:rsidTr="009903A9">
        <w:trPr>
          <w:trHeight w:val="308"/>
        </w:trPr>
        <w:tc>
          <w:tcPr>
            <w:tcW w:w="1057" w:type="dxa"/>
          </w:tcPr>
          <w:p w14:paraId="25ED49A3" w14:textId="7B87D064" w:rsidR="009903A9" w:rsidRPr="00A46865" w:rsidRDefault="009903A9" w:rsidP="00080B9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468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011" w:type="dxa"/>
          </w:tcPr>
          <w:p w14:paraId="1B2EC23E" w14:textId="03D5B4EA" w:rsidR="009903A9" w:rsidRPr="00A46865" w:rsidRDefault="009903A9" w:rsidP="00A4686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Бружа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Г.І.</w:t>
            </w:r>
          </w:p>
        </w:tc>
        <w:tc>
          <w:tcPr>
            <w:tcW w:w="5843" w:type="dxa"/>
          </w:tcPr>
          <w:p w14:paraId="6BDE77B2" w14:textId="6F058AE2" w:rsidR="009903A9" w:rsidRPr="00A46865" w:rsidRDefault="009903A9" w:rsidP="009903A9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Чудейський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ліцей №2</w:t>
            </w:r>
          </w:p>
        </w:tc>
      </w:tr>
      <w:tr w:rsidR="009903A9" w:rsidRPr="00A46865" w14:paraId="7CE41F6F" w14:textId="77777777" w:rsidTr="009903A9">
        <w:trPr>
          <w:trHeight w:val="308"/>
        </w:trPr>
        <w:tc>
          <w:tcPr>
            <w:tcW w:w="1057" w:type="dxa"/>
          </w:tcPr>
          <w:p w14:paraId="3EC5D787" w14:textId="245278E7" w:rsidR="009903A9" w:rsidRPr="00A46865" w:rsidRDefault="009903A9" w:rsidP="00080B9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A4686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011" w:type="dxa"/>
          </w:tcPr>
          <w:p w14:paraId="46EA25B1" w14:textId="76676F4A" w:rsidR="009903A9" w:rsidRPr="00A46865" w:rsidRDefault="009903A9" w:rsidP="00A46865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Нікорич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Л.Т.</w:t>
            </w:r>
          </w:p>
        </w:tc>
        <w:tc>
          <w:tcPr>
            <w:tcW w:w="5843" w:type="dxa"/>
          </w:tcPr>
          <w:p w14:paraId="1FB4D45D" w14:textId="61B0EA57" w:rsidR="009903A9" w:rsidRPr="00A46865" w:rsidRDefault="009903A9" w:rsidP="009903A9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Череська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гімназія</w:t>
            </w:r>
          </w:p>
        </w:tc>
      </w:tr>
    </w:tbl>
    <w:p w14:paraId="54A1BED6" w14:textId="77777777" w:rsidR="00A46865" w:rsidRPr="00A46865" w:rsidRDefault="00A4686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14:paraId="770627D3" w14:textId="44E101F3" w:rsidR="00222F85" w:rsidRPr="00332E3E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Протягом всього навчального року вчителі впроваджували методичні прийоми та сучасні форми роботи за предметами математика</w:t>
      </w:r>
      <w:r w:rsidR="00A4686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інформатика.</w:t>
      </w:r>
    </w:p>
    <w:p w14:paraId="4232D386" w14:textId="07EF7C7F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Вся робота </w:t>
      </w:r>
      <w:r w:rsidR="00A4686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професійної спільноти 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була спрямована на виконання таких завдань:</w:t>
      </w:r>
    </w:p>
    <w:p w14:paraId="32E98316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Сприяти вирішенню проблеми закладів освіти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підвищенні якості навчання шляхом використан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ня на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сучасних освітніх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технологій.</w:t>
      </w:r>
    </w:p>
    <w:p w14:paraId="4356C0CD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 У процесі роботи вдосконалювати професійну майстерність вчителя,</w:t>
      </w:r>
    </w:p>
    <w:p w14:paraId="722F6232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продовжувати вивчати досягнення педагогіки та психології з даної</w:t>
      </w:r>
    </w:p>
    <w:p w14:paraId="1ED6FD52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проблеми.</w:t>
      </w:r>
    </w:p>
    <w:p w14:paraId="38C0EEA8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Забезпечувати високий методичний рівень проведення всіх видів занять.</w:t>
      </w:r>
    </w:p>
    <w:p w14:paraId="5C9081E4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Підвищувати ефективність уроків шляхом впровадження сучасних форм організації навчальної діяльності учнів.</w:t>
      </w:r>
    </w:p>
    <w:p w14:paraId="2ED3E005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5. Вивчати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впроваджувати передовий досвід вчителів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 поширювати власний досвід серед освітян України.</w:t>
      </w:r>
    </w:p>
    <w:p w14:paraId="1145F1A4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6. Виявляти, пропагувати і здійснювати нові підходи до організації навчання</w:t>
      </w:r>
    </w:p>
    <w:p w14:paraId="4353E18B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 вихо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вання здобувачів освіти, особливо, в умовах дистанційного навчання.</w:t>
      </w:r>
    </w:p>
    <w:p w14:paraId="0400577C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7.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Приділяти особливу увагу якості самоосвіти, своєчасності й результативності курсової перепідготовки.</w:t>
      </w:r>
    </w:p>
    <w:p w14:paraId="1C28D630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Систематично аналізувати зміст діючих програм і підручників з метою активізації самостійної роботи школярів через використання інформаційних технологій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14:paraId="3365C34A" w14:textId="1A1F3A0B" w:rsidR="00222F85" w:rsidRPr="00A754C2" w:rsidRDefault="00222F85" w:rsidP="00222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Основні завдання на наступний навчальний рік:</w:t>
      </w:r>
    </w:p>
    <w:p w14:paraId="6201CD31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Удосконалення форм роботи при дистанційному навчанні здобувачів освіти.</w:t>
      </w:r>
    </w:p>
    <w:p w14:paraId="7A29AC6F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Забезпечення реалізації Державного стандарту базової середньої освіти у 6-х класах НУШ.</w:t>
      </w:r>
    </w:p>
    <w:p w14:paraId="2BC92426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3. Удосконалення професійної майстерності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компетентності педагогів НУШ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14:paraId="5E7C892A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Створення умов для вчителів предметів природничо-математичного циклу з метою впровадження в процес навчання іннов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аційних педагогічних технологій, зокрема, технології «Створення ситуації успіху», інтерактивних прийомів, дистанційного навчання.</w:t>
      </w:r>
    </w:p>
    <w:p w14:paraId="6AA6F569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5. Розробка основних напрямків і форм активізації пізнавальної, науково-практичної діяльності учнів у позаурочний час (олімпіади, конкурси, предметні тижні, аукціони знань).</w:t>
      </w:r>
    </w:p>
    <w:p w14:paraId="22219F3A" w14:textId="77777777" w:rsidR="00222F85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6. Участь в атестації педагогічних працівників.</w:t>
      </w:r>
    </w:p>
    <w:p w14:paraId="7EE644FD" w14:textId="77777777" w:rsidR="00222F85" w:rsidRPr="00B67182" w:rsidRDefault="00222F85" w:rsidP="0022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7. Поширення власного педагогічного досвіду, публікація розробок на освітніх сайтах.</w:t>
      </w:r>
    </w:p>
    <w:p w14:paraId="6B4884E6" w14:textId="3B027716" w:rsidR="00222F85" w:rsidRDefault="00222F85" w:rsidP="00402A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8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 Вивчення нормативно-правових документів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 галузі освіти.</w:t>
      </w:r>
    </w:p>
    <w:p w14:paraId="44FC60EE" w14:textId="5BDE0EF0" w:rsidR="00402ADC" w:rsidRDefault="00402ADC" w:rsidP="00402A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У 2023-2024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н.р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було проведено 4 засідання професійної спільноти учителів математики та інформатики. У серпні 2023 року </w:t>
      </w:r>
      <w:r w:rsidRPr="00402ADC">
        <w:rPr>
          <w:rFonts w:ascii="Times New Roman" w:hAnsi="Times New Roman" w:cs="Times New Roman"/>
          <w:iCs/>
          <w:sz w:val="28"/>
          <w:szCs w:val="28"/>
        </w:rPr>
        <w:t>проаналізува</w:t>
      </w:r>
      <w:r>
        <w:rPr>
          <w:rFonts w:ascii="Times New Roman" w:hAnsi="Times New Roman" w:cs="Times New Roman"/>
          <w:iCs/>
          <w:sz w:val="28"/>
          <w:szCs w:val="28"/>
        </w:rPr>
        <w:t xml:space="preserve">ли </w:t>
      </w:r>
      <w:r w:rsidRPr="00402ADC">
        <w:rPr>
          <w:rFonts w:ascii="Times New Roman" w:hAnsi="Times New Roman" w:cs="Times New Roman"/>
          <w:iCs/>
          <w:sz w:val="28"/>
          <w:szCs w:val="28"/>
        </w:rPr>
        <w:t xml:space="preserve">стан викладання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предметів </w:t>
      </w:r>
      <w:r w:rsidRPr="00402ADC">
        <w:rPr>
          <w:rFonts w:ascii="Times New Roman" w:hAnsi="Times New Roman" w:cs="Times New Roman"/>
          <w:iCs/>
          <w:sz w:val="28"/>
          <w:szCs w:val="28"/>
        </w:rPr>
        <w:t xml:space="preserve">математичного </w:t>
      </w:r>
      <w:r>
        <w:rPr>
          <w:rFonts w:ascii="Times New Roman" w:hAnsi="Times New Roman" w:cs="Times New Roman"/>
          <w:iCs/>
          <w:sz w:val="28"/>
          <w:szCs w:val="28"/>
        </w:rPr>
        <w:t>напрямку</w:t>
      </w:r>
      <w:r w:rsidRPr="00402ADC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1C1B29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Pr="00402ADC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 w:rsidR="001C1B29">
        <w:rPr>
          <w:rFonts w:ascii="Times New Roman" w:hAnsi="Times New Roman" w:cs="Times New Roman"/>
          <w:iCs/>
          <w:sz w:val="28"/>
          <w:szCs w:val="28"/>
        </w:rPr>
        <w:t>2</w:t>
      </w:r>
      <w:r w:rsidRPr="00402ADC">
        <w:rPr>
          <w:rFonts w:ascii="Times New Roman" w:hAnsi="Times New Roman" w:cs="Times New Roman"/>
          <w:iCs/>
          <w:sz w:val="28"/>
          <w:szCs w:val="28"/>
        </w:rPr>
        <w:t>-202</w:t>
      </w:r>
      <w:r w:rsidR="001C1B29">
        <w:rPr>
          <w:rFonts w:ascii="Times New Roman" w:hAnsi="Times New Roman" w:cs="Times New Roman"/>
          <w:iCs/>
          <w:sz w:val="28"/>
          <w:szCs w:val="28"/>
        </w:rPr>
        <w:t>3</w:t>
      </w:r>
      <w:r w:rsidRPr="00402ADC">
        <w:rPr>
          <w:rFonts w:ascii="Times New Roman" w:hAnsi="Times New Roman" w:cs="Times New Roman"/>
          <w:iCs/>
          <w:sz w:val="28"/>
          <w:szCs w:val="28"/>
        </w:rPr>
        <w:t xml:space="preserve"> навчальному році та визначити пріоритетні напрямки в роботі ТПСПП у поточному навчальному році.</w:t>
      </w:r>
      <w:r w:rsidR="001C1B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1B29" w:rsidRPr="001C1B29">
        <w:rPr>
          <w:rFonts w:ascii="Times New Roman" w:hAnsi="Times New Roman" w:cs="Times New Roman"/>
          <w:iCs/>
          <w:sz w:val="28"/>
          <w:szCs w:val="28"/>
        </w:rPr>
        <w:t xml:space="preserve">З метою </w:t>
      </w:r>
      <w:r w:rsidR="001C1B29" w:rsidRP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м</w:t>
      </w:r>
      <w:r w:rsidR="001C1B29" w:rsidRP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одернізаці</w:t>
      </w:r>
      <w:r w:rsidR="001C1B29" w:rsidRP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ї</w:t>
      </w:r>
      <w:r w:rsidR="001C1B29" w:rsidRP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навчально-виховного процесу шляхом впровадження сучасних освітніх технологій та методики навчання в особливих  умовах сьогодення</w:t>
      </w:r>
      <w:r w:rsidR="001C1B29" w:rsidRP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у жовтні 2023 року </w:t>
      </w:r>
      <w:r w:rsid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на базі </w:t>
      </w:r>
      <w:proofErr w:type="spellStart"/>
      <w:r w:rsid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Чудейського</w:t>
      </w:r>
      <w:proofErr w:type="spellEnd"/>
      <w:r w:rsid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ліцею №2 </w:t>
      </w:r>
      <w:r w:rsidR="001C1B29" w:rsidRP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було проведено практичне заняття з використання інтернет ресурсів та майстер-клас по створенню інтерактивних аркушів.</w:t>
      </w:r>
      <w:r w:rsidR="001C1B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</w:p>
    <w:p w14:paraId="7BFAA47E" w14:textId="19911C12" w:rsidR="001C1B29" w:rsidRDefault="001C1B29" w:rsidP="00402A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     У грудні всі вчителі математики  закладів освіти громади підвищили свою професійну майстерність шляхом проходження курсів підвищення кваліфікації при ІППОЧО «НУШ. Перезавантаження». </w:t>
      </w:r>
    </w:p>
    <w:p w14:paraId="630AD6DC" w14:textId="77777777" w:rsidR="008460BF" w:rsidRDefault="009C3453" w:rsidP="004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У лютому 2024 року на базі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Буденецької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гімназії імені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Г.Бостан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була організована </w:t>
      </w:r>
      <w:r w:rsidRPr="009C345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C3453">
        <w:rPr>
          <w:rFonts w:ascii="Times New Roman" w:eastAsia="Times New Roman" w:hAnsi="Times New Roman" w:cs="Times New Roman"/>
          <w:sz w:val="28"/>
          <w:szCs w:val="28"/>
          <w:lang w:eastAsia="uk-UA"/>
        </w:rPr>
        <w:t>едагогічна майстерн</w:t>
      </w:r>
      <w:r w:rsidRPr="009C3453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9C34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вчителя як основа успішного формування в учнів ключових </w:t>
      </w:r>
      <w:proofErr w:type="spellStart"/>
      <w:r w:rsidRPr="009C34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 вчителі мали змогу обмінятись досвідом роботи з колегами, що працюють в НУШ. </w:t>
      </w:r>
      <w:r w:rsidR="008460BF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8460BF">
        <w:rPr>
          <w:rFonts w:ascii="Times New Roman" w:eastAsia="Times New Roman" w:hAnsi="Times New Roman" w:cs="Times New Roman"/>
          <w:sz w:val="28"/>
          <w:szCs w:val="28"/>
          <w:lang w:eastAsia="uk-UA"/>
        </w:rPr>
        <w:t>ікаво і змістовно  пройшов тиждень математики в закладах освіти громади. Цікаві конкурси, веселі задачі</w:t>
      </w:r>
      <w:r w:rsidR="008460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вікторини </w:t>
      </w:r>
      <w:r w:rsidR="008460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багато пізнавальної інформації отримали діти під час проведення тижня математики</w:t>
      </w:r>
      <w:r w:rsidR="008460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лютому також був проведений моніторинг рівня сформованості математичних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5-6 класів закладів освіти громади.</w:t>
      </w:r>
    </w:p>
    <w:p w14:paraId="59B826C1" w14:textId="6305729D" w:rsidR="00850DDA" w:rsidRDefault="00850DDA" w:rsidP="00402A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Результати моніторингу:</w:t>
      </w:r>
    </w:p>
    <w:p w14:paraId="0E427582" w14:textId="04C35DDE" w:rsidR="00850DDA" w:rsidRDefault="00850DDA" w:rsidP="008460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Моніторинг з математики </w:t>
      </w:r>
    </w:p>
    <w:p w14:paraId="26A2B373" w14:textId="77777777" w:rsidR="00850DDA" w:rsidRDefault="00850DDA" w:rsidP="008460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04E">
        <w:rPr>
          <w:rFonts w:ascii="Times New Roman" w:hAnsi="Times New Roman" w:cs="Times New Roman"/>
          <w:b/>
          <w:bCs/>
          <w:sz w:val="28"/>
          <w:szCs w:val="28"/>
        </w:rPr>
        <w:t>Кількісний та якісний аналіз отриманих результатів</w:t>
      </w:r>
    </w:p>
    <w:tbl>
      <w:tblPr>
        <w:tblStyle w:val="ae"/>
        <w:tblW w:w="10688" w:type="dxa"/>
        <w:tblInd w:w="-431" w:type="dxa"/>
        <w:tblLook w:val="04A0" w:firstRow="1" w:lastRow="0" w:firstColumn="1" w:lastColumn="0" w:noHBand="0" w:noVBand="1"/>
      </w:tblPr>
      <w:tblGrid>
        <w:gridCol w:w="1130"/>
        <w:gridCol w:w="1742"/>
        <w:gridCol w:w="1128"/>
        <w:gridCol w:w="1116"/>
        <w:gridCol w:w="1116"/>
        <w:gridCol w:w="1120"/>
        <w:gridCol w:w="1112"/>
        <w:gridCol w:w="1112"/>
        <w:gridCol w:w="1112"/>
      </w:tblGrid>
      <w:tr w:rsidR="0010767F" w14:paraId="2F95B542" w14:textId="77777777" w:rsidTr="0010767F">
        <w:trPr>
          <w:cantSplit/>
          <w:trHeight w:val="2312"/>
        </w:trPr>
        <w:tc>
          <w:tcPr>
            <w:tcW w:w="1130" w:type="dxa"/>
            <w:vMerge w:val="restart"/>
            <w:textDirection w:val="btLr"/>
          </w:tcPr>
          <w:p w14:paraId="4ACB1799" w14:textId="77777777" w:rsidR="0010767F" w:rsidRDefault="0010767F" w:rsidP="00080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Класи </w:t>
            </w:r>
          </w:p>
        </w:tc>
        <w:tc>
          <w:tcPr>
            <w:tcW w:w="1742" w:type="dxa"/>
            <w:vMerge w:val="restart"/>
            <w:textDirection w:val="btLr"/>
          </w:tcPr>
          <w:p w14:paraId="6C5513BC" w14:textId="77777777" w:rsidR="0010767F" w:rsidRDefault="0010767F" w:rsidP="00080B9B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 учнів, що виконували роботу</w:t>
            </w:r>
          </w:p>
        </w:tc>
        <w:tc>
          <w:tcPr>
            <w:tcW w:w="4480" w:type="dxa"/>
            <w:gridSpan w:val="4"/>
          </w:tcPr>
          <w:p w14:paraId="16E2F442" w14:textId="77777777" w:rsidR="0010767F" w:rsidRPr="00305D0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Рівень знань учнів за результатами роботи</w:t>
            </w:r>
          </w:p>
        </w:tc>
        <w:tc>
          <w:tcPr>
            <w:tcW w:w="1112" w:type="dxa"/>
            <w:vMerge w:val="restart"/>
            <w:textDirection w:val="btLr"/>
          </w:tcPr>
          <w:p w14:paraId="1BC13D41" w14:textId="77777777" w:rsidR="0010767F" w:rsidRPr="00305D0F" w:rsidRDefault="0010767F" w:rsidP="00080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учнів, які засвоїли програму на високому, достатньому та середньому рівні</w:t>
            </w:r>
          </w:p>
        </w:tc>
        <w:tc>
          <w:tcPr>
            <w:tcW w:w="1112" w:type="dxa"/>
            <w:vMerge w:val="restart"/>
            <w:textDirection w:val="btLr"/>
          </w:tcPr>
          <w:p w14:paraId="5F579FB5" w14:textId="77777777" w:rsidR="0010767F" w:rsidRPr="00305D0F" w:rsidRDefault="0010767F" w:rsidP="00080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учнів, які за результатами  попередньої  контр. Роботи засвоїли програму на високому та достатньому рівні</w:t>
            </w:r>
          </w:p>
        </w:tc>
        <w:tc>
          <w:tcPr>
            <w:tcW w:w="1112" w:type="dxa"/>
            <w:vMerge w:val="restart"/>
            <w:textDirection w:val="btLr"/>
          </w:tcPr>
          <w:p w14:paraId="3F96CC54" w14:textId="77777777" w:rsidR="0010767F" w:rsidRPr="00305D0F" w:rsidRDefault="0010767F" w:rsidP="00080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% розбіжностей між рівнем навчальних досягнень за результатами контр. роботи  і моніторингу  2024 </w:t>
            </w:r>
          </w:p>
        </w:tc>
      </w:tr>
      <w:tr w:rsidR="0010767F" w14:paraId="75EB5D94" w14:textId="77777777" w:rsidTr="009940E6">
        <w:trPr>
          <w:cantSplit/>
          <w:trHeight w:val="5430"/>
        </w:trPr>
        <w:tc>
          <w:tcPr>
            <w:tcW w:w="1130" w:type="dxa"/>
            <w:vMerge/>
          </w:tcPr>
          <w:p w14:paraId="1D577527" w14:textId="77777777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2" w:type="dxa"/>
            <w:vMerge/>
          </w:tcPr>
          <w:p w14:paraId="3F361A48" w14:textId="77777777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extDirection w:val="btLr"/>
          </w:tcPr>
          <w:p w14:paraId="199B1014" w14:textId="77777777" w:rsidR="0010767F" w:rsidRPr="00305D0F" w:rsidRDefault="0010767F" w:rsidP="00080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Високий рівень (12-10 балів)</w:t>
            </w:r>
          </w:p>
        </w:tc>
        <w:tc>
          <w:tcPr>
            <w:tcW w:w="1116" w:type="dxa"/>
            <w:textDirection w:val="btLr"/>
          </w:tcPr>
          <w:p w14:paraId="6CC49386" w14:textId="77777777" w:rsidR="0010767F" w:rsidRPr="00305D0F" w:rsidRDefault="0010767F" w:rsidP="00080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Достатній рівень (9-7 балів)</w:t>
            </w:r>
          </w:p>
        </w:tc>
        <w:tc>
          <w:tcPr>
            <w:tcW w:w="1116" w:type="dxa"/>
            <w:textDirection w:val="btLr"/>
          </w:tcPr>
          <w:p w14:paraId="4C5C67BA" w14:textId="77777777" w:rsidR="0010767F" w:rsidRPr="00305D0F" w:rsidRDefault="0010767F" w:rsidP="00080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Середній рівень (6-4 балів)</w:t>
            </w:r>
          </w:p>
        </w:tc>
        <w:tc>
          <w:tcPr>
            <w:tcW w:w="1117" w:type="dxa"/>
            <w:textDirection w:val="btLr"/>
          </w:tcPr>
          <w:p w14:paraId="100421B7" w14:textId="77777777" w:rsidR="0010767F" w:rsidRPr="00305D0F" w:rsidRDefault="0010767F" w:rsidP="00080B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D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Початковий рівень (3-1 бал)</w:t>
            </w:r>
          </w:p>
        </w:tc>
        <w:tc>
          <w:tcPr>
            <w:tcW w:w="1112" w:type="dxa"/>
            <w:vMerge/>
          </w:tcPr>
          <w:p w14:paraId="098E267A" w14:textId="77777777" w:rsidR="0010767F" w:rsidRPr="00305D0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vMerge/>
          </w:tcPr>
          <w:p w14:paraId="2D66C441" w14:textId="77777777" w:rsidR="0010767F" w:rsidRPr="00305D0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vMerge/>
          </w:tcPr>
          <w:p w14:paraId="5A83B25A" w14:textId="77777777" w:rsidR="0010767F" w:rsidRPr="00305D0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767F" w14:paraId="0A53BA97" w14:textId="77777777" w:rsidTr="0010767F">
        <w:trPr>
          <w:trHeight w:val="356"/>
        </w:trPr>
        <w:tc>
          <w:tcPr>
            <w:tcW w:w="1130" w:type="dxa"/>
          </w:tcPr>
          <w:p w14:paraId="6171E0F0" w14:textId="77777777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742" w:type="dxa"/>
          </w:tcPr>
          <w:p w14:paraId="68CF3FDC" w14:textId="1C531778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128" w:type="dxa"/>
          </w:tcPr>
          <w:p w14:paraId="71D1D19B" w14:textId="13B31FC8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16" w:type="dxa"/>
          </w:tcPr>
          <w:p w14:paraId="19631CB9" w14:textId="3EFE0F99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116" w:type="dxa"/>
          </w:tcPr>
          <w:p w14:paraId="0A51B0F7" w14:textId="7BFFAC40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7" w:type="dxa"/>
          </w:tcPr>
          <w:p w14:paraId="7AFE9957" w14:textId="64D6BC6C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14:paraId="144DA5DB" w14:textId="3636F434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74%</w:t>
            </w:r>
          </w:p>
        </w:tc>
        <w:tc>
          <w:tcPr>
            <w:tcW w:w="1112" w:type="dxa"/>
          </w:tcPr>
          <w:p w14:paraId="01E070CB" w14:textId="0F32E181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72,5%</w:t>
            </w:r>
          </w:p>
        </w:tc>
        <w:tc>
          <w:tcPr>
            <w:tcW w:w="1112" w:type="dxa"/>
          </w:tcPr>
          <w:p w14:paraId="1A53D1FF" w14:textId="5A7104D9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10767F" w14:paraId="3E1F4771" w14:textId="77777777" w:rsidTr="0010767F">
        <w:trPr>
          <w:trHeight w:val="356"/>
        </w:trPr>
        <w:tc>
          <w:tcPr>
            <w:tcW w:w="1130" w:type="dxa"/>
          </w:tcPr>
          <w:p w14:paraId="4929DF83" w14:textId="588BC2F7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742" w:type="dxa"/>
          </w:tcPr>
          <w:p w14:paraId="66708851" w14:textId="45BF9429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128" w:type="dxa"/>
          </w:tcPr>
          <w:p w14:paraId="062A8291" w14:textId="3EB6580B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16" w:type="dxa"/>
          </w:tcPr>
          <w:p w14:paraId="27DFA0CF" w14:textId="60D76F7A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16" w:type="dxa"/>
          </w:tcPr>
          <w:p w14:paraId="4928FE83" w14:textId="607C9E93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117" w:type="dxa"/>
          </w:tcPr>
          <w:p w14:paraId="44B8D536" w14:textId="1D075932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12" w:type="dxa"/>
          </w:tcPr>
          <w:p w14:paraId="01D8487F" w14:textId="1D960B90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87,5%</w:t>
            </w:r>
          </w:p>
        </w:tc>
        <w:tc>
          <w:tcPr>
            <w:tcW w:w="1112" w:type="dxa"/>
          </w:tcPr>
          <w:p w14:paraId="6161D560" w14:textId="00DEF75D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85%</w:t>
            </w:r>
          </w:p>
        </w:tc>
        <w:tc>
          <w:tcPr>
            <w:tcW w:w="1112" w:type="dxa"/>
          </w:tcPr>
          <w:p w14:paraId="0143A849" w14:textId="09753ABE" w:rsidR="0010767F" w:rsidRDefault="0010767F" w:rsidP="00080B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</w:tr>
    </w:tbl>
    <w:p w14:paraId="51047CB3" w14:textId="78D8E6F0" w:rsidR="00850DDA" w:rsidRDefault="00850DDA" w:rsidP="00850D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Середній бал (моніторинг) – </w:t>
      </w:r>
      <w:r w:rsidR="0010767F">
        <w:rPr>
          <w:rFonts w:ascii="Times New Roman" w:hAnsi="Times New Roman" w:cs="Times New Roman"/>
          <w:b/>
          <w:bCs/>
          <w:sz w:val="28"/>
          <w:szCs w:val="28"/>
        </w:rPr>
        <w:t>6,2</w:t>
      </w:r>
    </w:p>
    <w:p w14:paraId="65FB31FA" w14:textId="4D9627A9" w:rsidR="009C3453" w:rsidRPr="0010767F" w:rsidRDefault="00850DDA" w:rsidP="001076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Середній бал (попередня К.Р.) – </w:t>
      </w:r>
      <w:r w:rsidR="0010767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0767F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581F60E4" w14:textId="53522395" w:rsidR="00222F85" w:rsidRPr="00C85422" w:rsidRDefault="005329C3" w:rsidP="00C8542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Підсумкове засідання у формі «математичні -посиденьки»</w:t>
      </w:r>
      <w:r w:rsidR="00850D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проведено у травні 2024 року на якому  </w:t>
      </w:r>
      <w:r w:rsidR="00850DDA" w:rsidRPr="00850DDA">
        <w:rPr>
          <w:rFonts w:ascii="Times New Roman" w:hAnsi="Times New Roman" w:cs="Times New Roman"/>
          <w:iCs/>
          <w:sz w:val="28"/>
          <w:szCs w:val="28"/>
        </w:rPr>
        <w:t>проаналізува</w:t>
      </w:r>
      <w:r w:rsidR="00850DDA" w:rsidRPr="00850DDA">
        <w:rPr>
          <w:rFonts w:ascii="Times New Roman" w:hAnsi="Times New Roman" w:cs="Times New Roman"/>
          <w:iCs/>
          <w:sz w:val="28"/>
          <w:szCs w:val="28"/>
        </w:rPr>
        <w:t>л</w:t>
      </w:r>
      <w:r w:rsidR="00850DDA" w:rsidRPr="00850DDA">
        <w:rPr>
          <w:rFonts w:ascii="Times New Roman" w:hAnsi="Times New Roman" w:cs="Times New Roman"/>
          <w:iCs/>
          <w:sz w:val="28"/>
          <w:szCs w:val="28"/>
        </w:rPr>
        <w:t>и роботу ТПСПП за 2023-2024</w:t>
      </w:r>
      <w:r w:rsidR="00C854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0DDA" w:rsidRPr="00850DDA">
        <w:rPr>
          <w:rFonts w:ascii="Times New Roman" w:hAnsi="Times New Roman" w:cs="Times New Roman"/>
          <w:iCs/>
          <w:sz w:val="28"/>
          <w:szCs w:val="28"/>
        </w:rPr>
        <w:t>навчальний рік та окреслити завдання на 2024-2025 навчальний рік,  заслуха</w:t>
      </w:r>
      <w:r w:rsidR="00850DDA" w:rsidRPr="00850DDA">
        <w:rPr>
          <w:rFonts w:ascii="Times New Roman" w:hAnsi="Times New Roman" w:cs="Times New Roman"/>
          <w:iCs/>
          <w:sz w:val="28"/>
          <w:szCs w:val="28"/>
        </w:rPr>
        <w:t>л</w:t>
      </w:r>
      <w:r w:rsidR="00850DDA" w:rsidRPr="00850DDA">
        <w:rPr>
          <w:rFonts w:ascii="Times New Roman" w:hAnsi="Times New Roman" w:cs="Times New Roman"/>
          <w:iCs/>
          <w:sz w:val="28"/>
          <w:szCs w:val="28"/>
        </w:rPr>
        <w:t>и творчі звіти вчителів з питань самоосвіти</w:t>
      </w:r>
      <w:r w:rsidR="0010767F">
        <w:rPr>
          <w:rFonts w:ascii="Times New Roman" w:hAnsi="Times New Roman" w:cs="Times New Roman"/>
          <w:iCs/>
          <w:sz w:val="28"/>
          <w:szCs w:val="28"/>
        </w:rPr>
        <w:t xml:space="preserve">. Важливу роль у </w:t>
      </w:r>
      <w:r w:rsidR="00C85422">
        <w:rPr>
          <w:rFonts w:ascii="Times New Roman" w:hAnsi="Times New Roman" w:cs="Times New Roman"/>
          <w:iCs/>
          <w:sz w:val="28"/>
          <w:szCs w:val="28"/>
        </w:rPr>
        <w:t>роботі вчителя відіграє участь його учнів у різних конкурсах, учнівських олімпіадах. Учні Чудейської громади є активними учасниками всеукраїнського та міжнародного математичних  конкурсів «Кенгуру»</w:t>
      </w:r>
      <w:r w:rsidR="0096756D">
        <w:rPr>
          <w:rFonts w:ascii="Times New Roman" w:hAnsi="Times New Roman" w:cs="Times New Roman"/>
          <w:iCs/>
          <w:sz w:val="28"/>
          <w:szCs w:val="28"/>
        </w:rPr>
        <w:t xml:space="preserve"> цьогоріч у міжнародному </w:t>
      </w:r>
      <w:proofErr w:type="spellStart"/>
      <w:r w:rsidR="0096756D">
        <w:rPr>
          <w:rFonts w:ascii="Times New Roman" w:hAnsi="Times New Roman" w:cs="Times New Roman"/>
          <w:iCs/>
          <w:sz w:val="28"/>
          <w:szCs w:val="28"/>
        </w:rPr>
        <w:t>єтапі</w:t>
      </w:r>
      <w:proofErr w:type="spellEnd"/>
      <w:r w:rsidR="0096756D">
        <w:rPr>
          <w:rFonts w:ascii="Times New Roman" w:hAnsi="Times New Roman" w:cs="Times New Roman"/>
          <w:iCs/>
          <w:sz w:val="28"/>
          <w:szCs w:val="28"/>
        </w:rPr>
        <w:t xml:space="preserve"> взяли участь 282 учні </w:t>
      </w:r>
      <w:proofErr w:type="spellStart"/>
      <w:r w:rsidR="0096756D">
        <w:rPr>
          <w:rFonts w:ascii="Times New Roman" w:hAnsi="Times New Roman" w:cs="Times New Roman"/>
          <w:iCs/>
          <w:sz w:val="28"/>
          <w:szCs w:val="28"/>
        </w:rPr>
        <w:t>громадти</w:t>
      </w:r>
      <w:proofErr w:type="spellEnd"/>
      <w:r w:rsidR="0096756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85422">
        <w:rPr>
          <w:rFonts w:ascii="Times New Roman" w:hAnsi="Times New Roman" w:cs="Times New Roman"/>
          <w:iCs/>
          <w:sz w:val="28"/>
          <w:szCs w:val="28"/>
        </w:rPr>
        <w:t xml:space="preserve">У поточному навчальному році </w:t>
      </w:r>
      <w:r w:rsidR="00C8542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</w:t>
      </w:r>
      <w:r w:rsidRPr="00142B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ІІ етапі Всеукраїнських учнівських олімпіад  взяли участь</w:t>
      </w:r>
    </w:p>
    <w:p w14:paraId="05E2ADDF" w14:textId="538B5184" w:rsidR="005329C3" w:rsidRPr="00142BFF" w:rsidRDefault="00C85422" w:rsidP="005329C3">
      <w:pPr>
        <w:pStyle w:val="a9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 </w:t>
      </w:r>
      <w:r w:rsidR="005329C3" w:rsidRPr="00142B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математики –  16 учнів</w:t>
      </w:r>
    </w:p>
    <w:p w14:paraId="2866C6FC" w14:textId="621EB1D2" w:rsidR="005329C3" w:rsidRDefault="00C85422" w:rsidP="005329C3">
      <w:pPr>
        <w:pStyle w:val="a9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 </w:t>
      </w:r>
      <w:r w:rsidR="005329C3" w:rsidRPr="00142B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інформаційних технологій – 3 учні</w:t>
      </w:r>
    </w:p>
    <w:p w14:paraId="542B37F9" w14:textId="28E2456E" w:rsidR="00C85422" w:rsidRDefault="00C85422" w:rsidP="005329C3">
      <w:pPr>
        <w:pStyle w:val="a9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 інформатики на ІІ етапі не було жодного учасника.</w:t>
      </w:r>
    </w:p>
    <w:p w14:paraId="714135AF" w14:textId="77777777" w:rsidR="00C85422" w:rsidRPr="00142BFF" w:rsidRDefault="00C85422" w:rsidP="0096756D">
      <w:pPr>
        <w:pStyle w:val="a9"/>
        <w:spacing w:after="0" w:line="240" w:lineRule="auto"/>
        <w:ind w:left="10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14:paraId="4D789174" w14:textId="77777777" w:rsidR="009940E6" w:rsidRDefault="009940E6" w:rsidP="0096756D">
      <w:pPr>
        <w:pStyle w:val="a9"/>
        <w:shd w:val="clear" w:color="auto" w:fill="FFFFFF"/>
        <w:spacing w:after="0" w:line="240" w:lineRule="auto"/>
        <w:ind w:left="1035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CC65B17" w14:textId="04140DAD" w:rsidR="005329C3" w:rsidRPr="009940E6" w:rsidRDefault="005329C3" w:rsidP="009940E6">
      <w:pPr>
        <w:pStyle w:val="a9"/>
        <w:shd w:val="clear" w:color="auto" w:fill="FFFFFF"/>
        <w:spacing w:after="0" w:line="240" w:lineRule="auto"/>
        <w:ind w:left="103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C3">
        <w:rPr>
          <w:rFonts w:ascii="Times New Roman" w:eastAsia="Times New Roman" w:hAnsi="Times New Roman" w:cs="Times New Roman"/>
          <w:sz w:val="32"/>
          <w:szCs w:val="32"/>
        </w:rPr>
        <w:lastRenderedPageBreak/>
        <w:t>Список</w:t>
      </w:r>
      <w:r w:rsidR="009940E6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9940E6">
        <w:rPr>
          <w:rFonts w:ascii="Times New Roman" w:eastAsia="Times New Roman" w:hAnsi="Times New Roman" w:cs="Times New Roman"/>
          <w:sz w:val="28"/>
          <w:szCs w:val="28"/>
          <w:u w:val="single"/>
        </w:rPr>
        <w:t>переможців  ІІ етапу Всеукраїнських учнівських олімпіад  у 2023/2024 навчальному році</w:t>
      </w:r>
    </w:p>
    <w:p w14:paraId="5216DF95" w14:textId="006B07B5" w:rsidR="005329C3" w:rsidRPr="005329C3" w:rsidRDefault="005329C3" w:rsidP="005329C3">
      <w:pPr>
        <w:pStyle w:val="a9"/>
        <w:spacing w:after="0" w:line="240" w:lineRule="auto"/>
        <w:ind w:left="103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29C3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</w:p>
    <w:tbl>
      <w:tblPr>
        <w:tblStyle w:val="ae"/>
        <w:tblW w:w="10773" w:type="dxa"/>
        <w:tblInd w:w="-572" w:type="dxa"/>
        <w:tblLook w:val="04A0" w:firstRow="1" w:lastRow="0" w:firstColumn="1" w:lastColumn="0" w:noHBand="0" w:noVBand="1"/>
      </w:tblPr>
      <w:tblGrid>
        <w:gridCol w:w="617"/>
        <w:gridCol w:w="2863"/>
        <w:gridCol w:w="3324"/>
        <w:gridCol w:w="851"/>
        <w:gridCol w:w="1004"/>
        <w:gridCol w:w="2114"/>
      </w:tblGrid>
      <w:tr w:rsidR="005329C3" w:rsidRPr="00E32EA4" w14:paraId="0FC2E274" w14:textId="77777777" w:rsidTr="009940E6">
        <w:tc>
          <w:tcPr>
            <w:tcW w:w="617" w:type="dxa"/>
          </w:tcPr>
          <w:p w14:paraId="528C4905" w14:textId="77777777" w:rsidR="005329C3" w:rsidRPr="00E32EA4" w:rsidRDefault="005329C3" w:rsidP="0008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A4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863" w:type="dxa"/>
          </w:tcPr>
          <w:p w14:paraId="6ADA2240" w14:textId="77777777" w:rsidR="005329C3" w:rsidRPr="00E32EA4" w:rsidRDefault="005329C3" w:rsidP="0008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A4">
              <w:rPr>
                <w:rFonts w:ascii="Times New Roman" w:hAnsi="Times New Roman" w:cs="Times New Roman"/>
                <w:b/>
                <w:sz w:val="28"/>
                <w:szCs w:val="28"/>
              </w:rPr>
              <w:t>Заклад освіти</w:t>
            </w:r>
          </w:p>
        </w:tc>
        <w:tc>
          <w:tcPr>
            <w:tcW w:w="3324" w:type="dxa"/>
          </w:tcPr>
          <w:p w14:paraId="4D60DE7F" w14:textId="77777777" w:rsidR="005329C3" w:rsidRPr="00E32EA4" w:rsidRDefault="005329C3" w:rsidP="0008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A4">
              <w:rPr>
                <w:rFonts w:ascii="Times New Roman" w:hAnsi="Times New Roman" w:cs="Times New Roman"/>
                <w:b/>
                <w:sz w:val="28"/>
                <w:szCs w:val="28"/>
              </w:rPr>
              <w:t>ПІБ учня</w:t>
            </w:r>
          </w:p>
        </w:tc>
        <w:tc>
          <w:tcPr>
            <w:tcW w:w="851" w:type="dxa"/>
          </w:tcPr>
          <w:p w14:paraId="184481AF" w14:textId="77777777" w:rsidR="005329C3" w:rsidRPr="00E32EA4" w:rsidRDefault="005329C3" w:rsidP="0008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A4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004" w:type="dxa"/>
          </w:tcPr>
          <w:p w14:paraId="172FDE5C" w14:textId="77777777" w:rsidR="005329C3" w:rsidRPr="00E32EA4" w:rsidRDefault="005329C3" w:rsidP="0008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A4">
              <w:rPr>
                <w:rFonts w:ascii="Times New Roman" w:hAnsi="Times New Roman" w:cs="Times New Roman"/>
                <w:b/>
                <w:sz w:val="28"/>
                <w:szCs w:val="28"/>
              </w:rPr>
              <w:t>Місце</w:t>
            </w:r>
          </w:p>
        </w:tc>
        <w:tc>
          <w:tcPr>
            <w:tcW w:w="2114" w:type="dxa"/>
          </w:tcPr>
          <w:p w14:paraId="22722359" w14:textId="77777777" w:rsidR="005329C3" w:rsidRPr="00E32EA4" w:rsidRDefault="005329C3" w:rsidP="00080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A4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ініціали вчителя</w:t>
            </w:r>
          </w:p>
        </w:tc>
      </w:tr>
      <w:tr w:rsidR="005329C3" w:rsidRPr="005C115E" w14:paraId="736829DB" w14:textId="77777777" w:rsidTr="009940E6">
        <w:tc>
          <w:tcPr>
            <w:tcW w:w="617" w:type="dxa"/>
          </w:tcPr>
          <w:p w14:paraId="42763CCE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14:paraId="4D077B4F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Їжівська</w:t>
            </w:r>
            <w:proofErr w:type="spellEnd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гімназія</w:t>
            </w:r>
          </w:p>
        </w:tc>
        <w:tc>
          <w:tcPr>
            <w:tcW w:w="3324" w:type="dxa"/>
          </w:tcPr>
          <w:p w14:paraId="331262B0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</w:rPr>
              <w:t xml:space="preserve">Фрунза </w:t>
            </w:r>
            <w:proofErr w:type="spellStart"/>
            <w:r w:rsidRPr="005C115E">
              <w:rPr>
                <w:rFonts w:ascii="Times New Roman" w:hAnsi="Times New Roman" w:cs="Times New Roman"/>
                <w:bCs/>
                <w:sz w:val="28"/>
              </w:rPr>
              <w:t>Ігорь</w:t>
            </w:r>
            <w:proofErr w:type="spellEnd"/>
          </w:p>
        </w:tc>
        <w:tc>
          <w:tcPr>
            <w:tcW w:w="851" w:type="dxa"/>
          </w:tcPr>
          <w:p w14:paraId="6360BD5F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14:paraId="114DD1A3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2114" w:type="dxa"/>
          </w:tcPr>
          <w:p w14:paraId="717011CF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Лук’ян </w:t>
            </w:r>
            <w:proofErr w:type="spellStart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м.К</w:t>
            </w:r>
            <w:proofErr w:type="spellEnd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329C3" w:rsidRPr="005C115E" w14:paraId="08ADD1ED" w14:textId="77777777" w:rsidTr="009940E6">
        <w:tc>
          <w:tcPr>
            <w:tcW w:w="617" w:type="dxa"/>
          </w:tcPr>
          <w:p w14:paraId="7E1AB9E8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63" w:type="dxa"/>
          </w:tcPr>
          <w:p w14:paraId="625AE327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Чудейський</w:t>
            </w:r>
            <w:proofErr w:type="spellEnd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ліцей №2</w:t>
            </w:r>
          </w:p>
        </w:tc>
        <w:tc>
          <w:tcPr>
            <w:tcW w:w="3324" w:type="dxa"/>
          </w:tcPr>
          <w:p w14:paraId="53C94255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Попович Георгій</w:t>
            </w:r>
          </w:p>
        </w:tc>
        <w:tc>
          <w:tcPr>
            <w:tcW w:w="851" w:type="dxa"/>
          </w:tcPr>
          <w:p w14:paraId="6B0297AF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14:paraId="5D82087D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2114" w:type="dxa"/>
          </w:tcPr>
          <w:p w14:paraId="608C7D3F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Биндю Н.В.</w:t>
            </w:r>
          </w:p>
        </w:tc>
      </w:tr>
      <w:tr w:rsidR="005329C3" w:rsidRPr="005C115E" w14:paraId="7B5389AC" w14:textId="77777777" w:rsidTr="009940E6">
        <w:tc>
          <w:tcPr>
            <w:tcW w:w="617" w:type="dxa"/>
          </w:tcPr>
          <w:p w14:paraId="0F5B2421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63" w:type="dxa"/>
          </w:tcPr>
          <w:p w14:paraId="3685ADDA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Їжівський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ліцей</w:t>
            </w:r>
          </w:p>
        </w:tc>
        <w:tc>
          <w:tcPr>
            <w:tcW w:w="3324" w:type="dxa"/>
          </w:tcPr>
          <w:p w14:paraId="416B4FF3" w14:textId="77777777" w:rsidR="005329C3" w:rsidRPr="007F3B8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Процеску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Георгій</w:t>
            </w:r>
          </w:p>
        </w:tc>
        <w:tc>
          <w:tcPr>
            <w:tcW w:w="851" w:type="dxa"/>
          </w:tcPr>
          <w:p w14:paraId="4CE6E941" w14:textId="77777777" w:rsidR="005329C3" w:rsidRPr="007F3B8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14:paraId="518F437F" w14:textId="77777777" w:rsidR="005329C3" w:rsidRPr="007F3B8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2114" w:type="dxa"/>
          </w:tcPr>
          <w:p w14:paraId="001D33A9" w14:textId="77777777" w:rsidR="005329C3" w:rsidRPr="007F3B8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Долінська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М.Г.</w:t>
            </w:r>
          </w:p>
        </w:tc>
      </w:tr>
      <w:tr w:rsidR="005329C3" w:rsidRPr="005C115E" w14:paraId="4856FC0B" w14:textId="77777777" w:rsidTr="009940E6">
        <w:tc>
          <w:tcPr>
            <w:tcW w:w="617" w:type="dxa"/>
          </w:tcPr>
          <w:p w14:paraId="4ED57CED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63" w:type="dxa"/>
          </w:tcPr>
          <w:p w14:paraId="6F267878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Чудейський</w:t>
            </w:r>
            <w:proofErr w:type="spellEnd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ліцей №2</w:t>
            </w:r>
          </w:p>
        </w:tc>
        <w:tc>
          <w:tcPr>
            <w:tcW w:w="3324" w:type="dxa"/>
          </w:tcPr>
          <w:p w14:paraId="31E894C5" w14:textId="77777777" w:rsidR="005329C3" w:rsidRPr="00DD3B72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Попович  Софія</w:t>
            </w:r>
          </w:p>
        </w:tc>
        <w:tc>
          <w:tcPr>
            <w:tcW w:w="851" w:type="dxa"/>
          </w:tcPr>
          <w:p w14:paraId="42A0291A" w14:textId="77777777" w:rsidR="005329C3" w:rsidRPr="00DB64AF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4" w:type="dxa"/>
          </w:tcPr>
          <w:p w14:paraId="155594A1" w14:textId="77777777" w:rsidR="005329C3" w:rsidRPr="00DB64AF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2114" w:type="dxa"/>
          </w:tcPr>
          <w:p w14:paraId="0F339139" w14:textId="77777777" w:rsidR="005329C3" w:rsidRPr="00DB64AF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Багнян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О.В.</w:t>
            </w:r>
          </w:p>
        </w:tc>
      </w:tr>
      <w:tr w:rsidR="005329C3" w:rsidRPr="005C115E" w14:paraId="32EBF4F6" w14:textId="77777777" w:rsidTr="009940E6">
        <w:tc>
          <w:tcPr>
            <w:tcW w:w="617" w:type="dxa"/>
          </w:tcPr>
          <w:p w14:paraId="4C0FFEA6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863" w:type="dxa"/>
          </w:tcPr>
          <w:p w14:paraId="1CA8F92E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>Чудейський</w:t>
            </w:r>
            <w:proofErr w:type="spellEnd"/>
            <w:r w:rsidRPr="005C11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ліцей №2</w:t>
            </w:r>
          </w:p>
        </w:tc>
        <w:tc>
          <w:tcPr>
            <w:tcW w:w="3324" w:type="dxa"/>
          </w:tcPr>
          <w:p w14:paraId="196C0925" w14:textId="77777777" w:rsidR="005329C3" w:rsidRPr="00F16158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Мікайло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Павло</w:t>
            </w:r>
          </w:p>
        </w:tc>
        <w:tc>
          <w:tcPr>
            <w:tcW w:w="851" w:type="dxa"/>
          </w:tcPr>
          <w:p w14:paraId="60A78317" w14:textId="77777777" w:rsidR="005329C3" w:rsidRPr="00F16158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14:paraId="155D0178" w14:textId="77777777" w:rsidR="005329C3" w:rsidRPr="00F16158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2114" w:type="dxa"/>
          </w:tcPr>
          <w:p w14:paraId="2C0E1297" w14:textId="77777777" w:rsidR="005329C3" w:rsidRPr="00F16158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Биндю Н.В.</w:t>
            </w:r>
          </w:p>
        </w:tc>
      </w:tr>
      <w:tr w:rsidR="005329C3" w:rsidRPr="005C115E" w14:paraId="24E3A428" w14:textId="77777777" w:rsidTr="009940E6">
        <w:tc>
          <w:tcPr>
            <w:tcW w:w="617" w:type="dxa"/>
          </w:tcPr>
          <w:p w14:paraId="21214D7F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63" w:type="dxa"/>
          </w:tcPr>
          <w:p w14:paraId="15A6C998" w14:textId="77777777" w:rsidR="005329C3" w:rsidRPr="00F16158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Чудейська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гімназія</w:t>
            </w:r>
          </w:p>
        </w:tc>
        <w:tc>
          <w:tcPr>
            <w:tcW w:w="3324" w:type="dxa"/>
          </w:tcPr>
          <w:p w14:paraId="3A90987F" w14:textId="77777777" w:rsidR="005329C3" w:rsidRPr="005C115E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Кучурян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Марія-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Крістіна</w:t>
            </w:r>
            <w:proofErr w:type="spellEnd"/>
          </w:p>
        </w:tc>
        <w:tc>
          <w:tcPr>
            <w:tcW w:w="851" w:type="dxa"/>
          </w:tcPr>
          <w:p w14:paraId="58371687" w14:textId="77777777" w:rsidR="005329C3" w:rsidRPr="006E3313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14:paraId="54682371" w14:textId="77777777" w:rsidR="005329C3" w:rsidRPr="006E3313" w:rsidRDefault="005329C3" w:rsidP="00080B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ІІІ</w:t>
            </w:r>
          </w:p>
        </w:tc>
        <w:tc>
          <w:tcPr>
            <w:tcW w:w="2114" w:type="dxa"/>
          </w:tcPr>
          <w:p w14:paraId="3A247D31" w14:textId="77777777" w:rsidR="005329C3" w:rsidRPr="006E3313" w:rsidRDefault="005329C3" w:rsidP="00080B9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Гарага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Л.Д.</w:t>
            </w:r>
          </w:p>
        </w:tc>
      </w:tr>
    </w:tbl>
    <w:p w14:paraId="6BB47B14" w14:textId="49551444" w:rsidR="005329C3" w:rsidRDefault="005329C3" w:rsidP="00222F8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Переможців ІІ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Всеунраїнської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уччнівської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олімпіади з  інформаційних технологій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9EB51D3" w14:textId="3BE5DDD2" w:rsidR="0096756D" w:rsidRDefault="0096756D" w:rsidP="0096756D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Вчителі, які викладають у 5-х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6-х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класах, приділили значну увагу вивченню критеріїв оцінювання кожної із галузей та груп загальних результатів, виставленню семестрового та річного балів. Педагоги опрацювали електронні версії підручників і обрали підручники для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і 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класів.  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Аналіз роботи педагогів, членів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професійної спільноти,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дає підставу зробити висновок, що завдання, які випливають із методичної теми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ТПСПП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 в основному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виконано.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Всі вчителі на своїх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працювали над розвитком логічного та критичного мислення, вміння здобувати інформацію самостійно з використанням інтернет-джерел, враховуючи здібності, інтереси здобувачів освіти. </w:t>
      </w:r>
    </w:p>
    <w:p w14:paraId="13AED682" w14:textId="26C1CC7E" w:rsidR="0096756D" w:rsidRDefault="0096756D" w:rsidP="0096756D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Однак, поряд із позитивним, є певні проблеми.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Потребує покращення робота по залученню дітей до участі в онлайн-конкурсах та інтернет-олімпіадах. Потрібно більше уваги приділяти підвищенню рівня навчальної мотивації школярів до вивчення предметів математичного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напрямку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. </w:t>
      </w:r>
    </w:p>
    <w:p w14:paraId="3567FE50" w14:textId="56F6BC22" w:rsidR="0096756D" w:rsidRDefault="0096756D" w:rsidP="0096756D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новому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навчальному році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ТПСПП 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вчителів предметів математичного циклу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продовжить роботу над проблемним  питанням </w:t>
      </w:r>
      <w:r w:rsidRPr="00B67182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Підвищення якості знань здобувачів освіти як основи для успішної самореалізації особистості шляхом координації зусиль педагогів, батьків та учнівського колективу».</w:t>
      </w:r>
    </w:p>
    <w:p w14:paraId="719408AB" w14:textId="77777777" w:rsidR="0096756D" w:rsidRDefault="0096756D" w:rsidP="0096756D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Основні завдання на наступний навчальний рік:</w:t>
      </w:r>
    </w:p>
    <w:p w14:paraId="7C7F87B5" w14:textId="7DD63998" w:rsidR="00BC4459" w:rsidRDefault="00BC4459" w:rsidP="00BC44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науково - теоретичної підготовки учителів математичного напрямку,  які  будуть працювати в 7-х класах НУШ</w:t>
      </w:r>
    </w:p>
    <w:p w14:paraId="706CA39A" w14:textId="2147F11F" w:rsidR="00BC4459" w:rsidRDefault="00BC4459" w:rsidP="00BC445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Вдосконалення індивідуалізації і диференціації навчально-виховного процесу з предметів математичного напрямку</w:t>
      </w:r>
    </w:p>
    <w:p w14:paraId="40A71C48" w14:textId="1F8B5FA6" w:rsidR="00BC4459" w:rsidRPr="00BC4459" w:rsidRDefault="00BC4459" w:rsidP="00BC445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C445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Забезпечення реалізації Державного стандарту базової середньої освіти у </w:t>
      </w:r>
      <w:r w:rsidR="009940E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5</w:t>
      </w:r>
      <w:r w:rsidRPr="00BC445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</w:t>
      </w:r>
      <w:r w:rsidR="009940E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7 - </w:t>
      </w:r>
      <w:r w:rsidRPr="00BC445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х класах НУШ.</w:t>
      </w:r>
    </w:p>
    <w:p w14:paraId="65F4BF6F" w14:textId="17F9F3E6" w:rsidR="00BC4459" w:rsidRPr="00BC4459" w:rsidRDefault="00BC4459" w:rsidP="00BC445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C445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Удосконалення професійної майстерності та компетентності педагогів НУШ.</w:t>
      </w:r>
    </w:p>
    <w:p w14:paraId="7960F7E3" w14:textId="2499EB2F" w:rsidR="00BC4459" w:rsidRPr="00BC4459" w:rsidRDefault="00BC4459" w:rsidP="00BC445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C445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Створення умов для вчителів предметів математичного </w:t>
      </w:r>
      <w:r w:rsidR="009940E6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напрямку</w:t>
      </w:r>
      <w:r w:rsidRPr="00BC4459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 метою впровадження в процес навчання інноваційних педагогічних технологій, зокрема, технології «Створення ситуації успіху», інтерактивних прийомів, дистанційного навчання.</w:t>
      </w:r>
    </w:p>
    <w:p w14:paraId="10E6B5B9" w14:textId="77777777" w:rsidR="00BC4459" w:rsidRPr="00BC4459" w:rsidRDefault="00BC4459" w:rsidP="009940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ABCD95A" w14:textId="77777777" w:rsidR="0096756D" w:rsidRPr="00561DBE" w:rsidRDefault="0096756D" w:rsidP="00222F85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94062" w14:textId="77777777" w:rsidR="00AC3212" w:rsidRDefault="00AC3212"/>
    <w:sectPr w:rsidR="00AC3212" w:rsidSect="00222F8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A6224"/>
    <w:multiLevelType w:val="hybridMultilevel"/>
    <w:tmpl w:val="C736189C"/>
    <w:lvl w:ilvl="0" w:tplc="A60A5238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7221B"/>
    <w:multiLevelType w:val="hybridMultilevel"/>
    <w:tmpl w:val="AE547E54"/>
    <w:lvl w:ilvl="0" w:tplc="4C689F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536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E0"/>
    <w:rsid w:val="0010767F"/>
    <w:rsid w:val="001C1B29"/>
    <w:rsid w:val="00222F85"/>
    <w:rsid w:val="00402ADC"/>
    <w:rsid w:val="005329C3"/>
    <w:rsid w:val="00794E8B"/>
    <w:rsid w:val="008460BF"/>
    <w:rsid w:val="00850DDA"/>
    <w:rsid w:val="00906094"/>
    <w:rsid w:val="0096756D"/>
    <w:rsid w:val="009903A9"/>
    <w:rsid w:val="009940E6"/>
    <w:rsid w:val="009C3453"/>
    <w:rsid w:val="00A46865"/>
    <w:rsid w:val="00AC3212"/>
    <w:rsid w:val="00BC4459"/>
    <w:rsid w:val="00C85422"/>
    <w:rsid w:val="00DD21F4"/>
    <w:rsid w:val="00E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4CC6"/>
  <w15:chartTrackingRefBased/>
  <w15:docId w15:val="{C5425F95-98EA-4079-9B07-29E5A6B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F85"/>
  </w:style>
  <w:style w:type="paragraph" w:styleId="1">
    <w:name w:val="heading 1"/>
    <w:basedOn w:val="a"/>
    <w:next w:val="a"/>
    <w:link w:val="10"/>
    <w:uiPriority w:val="9"/>
    <w:qFormat/>
    <w:rsid w:val="00E76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6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6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6F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6F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6F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6F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6F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6F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6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7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76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7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F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76FE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6FE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22F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5</Pages>
  <Words>5825</Words>
  <Characters>3321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Биндю</dc:creator>
  <cp:keywords/>
  <dc:description/>
  <cp:lastModifiedBy>Ніна Биндю</cp:lastModifiedBy>
  <cp:revision>2</cp:revision>
  <dcterms:created xsi:type="dcterms:W3CDTF">2024-06-26T07:26:00Z</dcterms:created>
  <dcterms:modified xsi:type="dcterms:W3CDTF">2024-06-27T14:49:00Z</dcterms:modified>
</cp:coreProperties>
</file>